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19207" w14:textId="2496554F" w:rsidR="00997F33" w:rsidRDefault="00997F33" w:rsidP="0056341D">
      <w:pPr>
        <w:pStyle w:val="berschrift1"/>
        <w:spacing w:line="360" w:lineRule="auto"/>
        <w:jc w:val="center"/>
        <w:rPr>
          <w:rFonts w:ascii="Open Sans" w:eastAsia="Open Sans" w:hAnsi="Open Sans" w:cs="Open Sans"/>
          <w:b/>
          <w:bCs/>
          <w:color w:val="auto"/>
          <w:sz w:val="24"/>
          <w:szCs w:val="24"/>
          <w:lang w:val="de-DE"/>
        </w:rPr>
      </w:pPr>
      <w:r>
        <w:rPr>
          <w:noProof/>
        </w:rPr>
        <w:drawing>
          <wp:anchor distT="0" distB="0" distL="114300" distR="114300" simplePos="0" relativeHeight="251658240" behindDoc="0" locked="0" layoutInCell="1" allowOverlap="1" wp14:anchorId="36536CAD" wp14:editId="4EE137B8">
            <wp:simplePos x="0" y="0"/>
            <wp:positionH relativeFrom="column">
              <wp:posOffset>1008132</wp:posOffset>
            </wp:positionH>
            <wp:positionV relativeFrom="paragraph">
              <wp:posOffset>-883699</wp:posOffset>
            </wp:positionV>
            <wp:extent cx="3693411" cy="1160890"/>
            <wp:effectExtent l="0" t="0" r="2540" b="1270"/>
            <wp:wrapNone/>
            <wp:docPr id="65508300" name="drawing"/>
            <wp:cNvGraphicFramePr/>
            <a:graphic xmlns:a="http://schemas.openxmlformats.org/drawingml/2006/main">
              <a:graphicData uri="http://schemas.openxmlformats.org/drawingml/2006/picture">
                <pic:pic xmlns:pic="http://schemas.openxmlformats.org/drawingml/2006/picture">
                  <pic:nvPicPr>
                    <pic:cNvPr id="65508300" name="drawi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93411" cy="1160890"/>
                    </a:xfrm>
                    <a:prstGeom prst="rect">
                      <a:avLst/>
                    </a:prstGeom>
                  </pic:spPr>
                </pic:pic>
              </a:graphicData>
            </a:graphic>
            <wp14:sizeRelV relativeFrom="margin">
              <wp14:pctHeight>0</wp14:pctHeight>
            </wp14:sizeRelV>
          </wp:anchor>
        </w:drawing>
      </w:r>
    </w:p>
    <w:p w14:paraId="791AA9D3" w14:textId="13AC1014" w:rsidR="00B55E5C" w:rsidRPr="004E532F" w:rsidRDefault="004E532F" w:rsidP="0056341D">
      <w:pPr>
        <w:pStyle w:val="berschrift1"/>
        <w:spacing w:line="360" w:lineRule="auto"/>
        <w:jc w:val="center"/>
        <w:rPr>
          <w:rFonts w:ascii="Open Sans" w:eastAsia="Open Sans" w:hAnsi="Open Sans" w:cs="Open Sans"/>
          <w:b/>
          <w:bCs/>
          <w:color w:val="auto"/>
          <w:sz w:val="24"/>
          <w:szCs w:val="24"/>
          <w:lang w:val="de-DE"/>
        </w:rPr>
      </w:pPr>
      <w:proofErr w:type="spellStart"/>
      <w:r w:rsidRPr="004E532F">
        <w:rPr>
          <w:rFonts w:ascii="Open Sans" w:eastAsia="Open Sans" w:hAnsi="Open Sans" w:cs="Open Sans"/>
          <w:b/>
          <w:bCs/>
          <w:color w:val="auto"/>
          <w:sz w:val="24"/>
          <w:szCs w:val="24"/>
          <w:lang w:val="de-DE"/>
        </w:rPr>
        <w:t>GreenGov</w:t>
      </w:r>
      <w:proofErr w:type="spellEnd"/>
      <w:r w:rsidRPr="004E532F">
        <w:rPr>
          <w:rFonts w:ascii="Open Sans" w:eastAsia="Open Sans" w:hAnsi="Open Sans" w:cs="Open Sans"/>
          <w:b/>
          <w:bCs/>
          <w:color w:val="auto"/>
          <w:sz w:val="24"/>
          <w:szCs w:val="24"/>
          <w:lang w:val="de-DE"/>
        </w:rPr>
        <w:t xml:space="preserve"> veröffentlicht thematische </w:t>
      </w:r>
      <w:r>
        <w:rPr>
          <w:rFonts w:ascii="Open Sans" w:eastAsia="Open Sans" w:hAnsi="Open Sans" w:cs="Open Sans"/>
          <w:b/>
          <w:bCs/>
          <w:color w:val="auto"/>
          <w:sz w:val="24"/>
          <w:szCs w:val="24"/>
          <w:lang w:val="de-DE"/>
        </w:rPr>
        <w:t>Übersichten</w:t>
      </w:r>
      <w:r w:rsidRPr="004E532F">
        <w:rPr>
          <w:rFonts w:ascii="Open Sans" w:eastAsia="Open Sans" w:hAnsi="Open Sans" w:cs="Open Sans"/>
          <w:b/>
          <w:bCs/>
          <w:color w:val="auto"/>
          <w:sz w:val="24"/>
          <w:szCs w:val="24"/>
          <w:lang w:val="de-DE"/>
        </w:rPr>
        <w:t xml:space="preserve"> zur Klimaverträglichkeit von Infrastrukturen und zum Grundsatz „Keine erhebliche Beeinträchtigung“ (Englisch: </w:t>
      </w:r>
      <w:r w:rsidRPr="00D57EFA">
        <w:rPr>
          <w:rFonts w:ascii="Open Sans" w:eastAsia="Open Sans" w:hAnsi="Open Sans" w:cs="Open Sans"/>
          <w:b/>
          <w:bCs/>
          <w:color w:val="auto"/>
          <w:sz w:val="24"/>
          <w:szCs w:val="24"/>
          <w:lang w:val="de-DE"/>
        </w:rPr>
        <w:t xml:space="preserve">Do Not </w:t>
      </w:r>
      <w:proofErr w:type="spellStart"/>
      <w:r w:rsidRPr="00D57EFA">
        <w:rPr>
          <w:rFonts w:ascii="Open Sans" w:eastAsia="Open Sans" w:hAnsi="Open Sans" w:cs="Open Sans"/>
          <w:b/>
          <w:bCs/>
          <w:color w:val="auto"/>
          <w:sz w:val="24"/>
          <w:szCs w:val="24"/>
          <w:lang w:val="de-DE"/>
        </w:rPr>
        <w:t>Significant</w:t>
      </w:r>
      <w:proofErr w:type="spellEnd"/>
      <w:r w:rsidRPr="00D57EFA">
        <w:rPr>
          <w:rFonts w:ascii="Open Sans" w:eastAsia="Open Sans" w:hAnsi="Open Sans" w:cs="Open Sans"/>
          <w:b/>
          <w:bCs/>
          <w:color w:val="auto"/>
          <w:sz w:val="24"/>
          <w:szCs w:val="24"/>
          <w:lang w:val="de-DE"/>
        </w:rPr>
        <w:t xml:space="preserve"> Harm</w:t>
      </w:r>
      <w:r w:rsidRPr="004E532F">
        <w:rPr>
          <w:rFonts w:ascii="Open Sans" w:eastAsia="Open Sans" w:hAnsi="Open Sans" w:cs="Open Sans"/>
          <w:b/>
          <w:bCs/>
          <w:color w:val="auto"/>
          <w:sz w:val="24"/>
          <w:szCs w:val="24"/>
          <w:lang w:val="de-DE"/>
        </w:rPr>
        <w:t>)</w:t>
      </w:r>
    </w:p>
    <w:p w14:paraId="279C9C2A" w14:textId="6224A61A" w:rsidR="0056341D" w:rsidRPr="006B225D" w:rsidRDefault="004A0294" w:rsidP="00F56F47">
      <w:pPr>
        <w:spacing w:line="360" w:lineRule="auto"/>
        <w:jc w:val="center"/>
        <w:rPr>
          <w:rFonts w:ascii="Open Sans" w:eastAsia="Open Sans" w:hAnsi="Open Sans" w:cs="Open Sans"/>
          <w:i/>
          <w:iCs/>
          <w:lang w:eastAsia="ja-JP"/>
        </w:rPr>
      </w:pPr>
      <w:r w:rsidRPr="006B225D">
        <w:rPr>
          <w:rFonts w:ascii="Open Sans" w:eastAsia="Open Sans" w:hAnsi="Open Sans" w:cs="Open Sans"/>
          <w:i/>
          <w:iCs/>
          <w:lang w:eastAsia="ja-JP"/>
        </w:rPr>
        <w:t>Das Interreg-Europe-</w:t>
      </w:r>
      <w:proofErr w:type="spellStart"/>
      <w:r w:rsidRPr="006B225D">
        <w:rPr>
          <w:rFonts w:ascii="Open Sans" w:eastAsia="Open Sans" w:hAnsi="Open Sans" w:cs="Open Sans"/>
          <w:i/>
          <w:iCs/>
          <w:lang w:eastAsia="ja-JP"/>
        </w:rPr>
        <w:t>GreenGov</w:t>
      </w:r>
      <w:proofErr w:type="spellEnd"/>
      <w:r w:rsidRPr="006B225D">
        <w:rPr>
          <w:rFonts w:ascii="Open Sans" w:eastAsia="Open Sans" w:hAnsi="Open Sans" w:cs="Open Sans"/>
          <w:i/>
          <w:iCs/>
          <w:lang w:eastAsia="ja-JP"/>
        </w:rPr>
        <w:t>-Projekt unterstützt regionale Behörden in Europa bei der Umsetzung der EU-Anforderungen an nachhaltige Aktivitäten (EU-Taxonomie) sowie bei der Einführung nachhaltiger Finanzierungssysteme. Im Rahmen des Projekts wurden zwei thematische Übersichten für regionale Behörden zu den Themen „Klimaverträglichkeit von Infrastrukturen” und „keine erheblichen Beeinträchtigungen” veröffentlicht.</w:t>
      </w:r>
    </w:p>
    <w:p w14:paraId="49CC9014" w14:textId="77777777" w:rsidR="00F56F47" w:rsidRDefault="00F56F47" w:rsidP="00A27133">
      <w:pPr>
        <w:rPr>
          <w:rFonts w:ascii="Open Sans" w:hAnsi="Open Sans" w:cs="Open Sans"/>
        </w:rPr>
      </w:pPr>
    </w:p>
    <w:p w14:paraId="76E16711" w14:textId="4C82910A" w:rsidR="00A27133" w:rsidRPr="00F56F47" w:rsidRDefault="00A27133" w:rsidP="00624A9D">
      <w:pPr>
        <w:spacing w:line="360" w:lineRule="auto"/>
        <w:rPr>
          <w:rFonts w:ascii="Open Sans" w:hAnsi="Open Sans" w:cs="Open Sans"/>
        </w:rPr>
      </w:pPr>
      <w:r w:rsidRPr="00F56F47">
        <w:rPr>
          <w:rFonts w:ascii="Open Sans" w:hAnsi="Open Sans" w:cs="Open Sans"/>
        </w:rPr>
        <w:t xml:space="preserve">Die thematischen Berichte </w:t>
      </w:r>
      <w:r w:rsidRPr="00F56F47">
        <w:rPr>
          <w:rFonts w:ascii="Open Sans" w:hAnsi="Open Sans" w:cs="Open Sans"/>
        </w:rPr>
        <w:t>geben</w:t>
      </w:r>
      <w:r w:rsidRPr="00F56F47">
        <w:rPr>
          <w:rFonts w:ascii="Open Sans" w:hAnsi="Open Sans" w:cs="Open Sans"/>
        </w:rPr>
        <w:t xml:space="preserve"> einen </w:t>
      </w:r>
      <w:r w:rsidRPr="00F56F47">
        <w:rPr>
          <w:rFonts w:ascii="Open Sans" w:hAnsi="Open Sans" w:cs="Open Sans"/>
          <w:b/>
          <w:bCs/>
        </w:rPr>
        <w:t xml:space="preserve">Überblick </w:t>
      </w:r>
      <w:r w:rsidRPr="00F56F47">
        <w:rPr>
          <w:rFonts w:ascii="Open Sans" w:hAnsi="Open Sans" w:cs="Open Sans"/>
        </w:rPr>
        <w:t xml:space="preserve">über die Themen, die im ersten Jahr des </w:t>
      </w:r>
      <w:proofErr w:type="spellStart"/>
      <w:r w:rsidRPr="00F56F47">
        <w:rPr>
          <w:rFonts w:ascii="Open Sans" w:hAnsi="Open Sans" w:cs="Open Sans"/>
        </w:rPr>
        <w:t>GreenGov</w:t>
      </w:r>
      <w:proofErr w:type="spellEnd"/>
      <w:r w:rsidRPr="00F56F47">
        <w:rPr>
          <w:rFonts w:ascii="Open Sans" w:hAnsi="Open Sans" w:cs="Open Sans"/>
        </w:rPr>
        <w:t xml:space="preserve">-Projekts im Mittelpunkt des Wissensaustausches zwischen den Projektpartnern standen: die </w:t>
      </w:r>
      <w:r w:rsidRPr="00F56F47">
        <w:rPr>
          <w:rFonts w:ascii="Open Sans" w:hAnsi="Open Sans" w:cs="Open Sans"/>
          <w:b/>
          <w:bCs/>
        </w:rPr>
        <w:t>Umsetzung des Grundsatzes „Keine erheblichen Beeinträchtigungen“</w:t>
      </w:r>
      <w:r w:rsidRPr="00F56F47">
        <w:rPr>
          <w:rFonts w:ascii="Open Sans" w:hAnsi="Open Sans" w:cs="Open Sans"/>
        </w:rPr>
        <w:t xml:space="preserve"> sowie die </w:t>
      </w:r>
      <w:r w:rsidRPr="00F56F47">
        <w:rPr>
          <w:rFonts w:ascii="Open Sans" w:hAnsi="Open Sans" w:cs="Open Sans"/>
          <w:b/>
          <w:bCs/>
        </w:rPr>
        <w:t>Klimaverträglichkeitsprüfung von Infrastrukturinvestitionen</w:t>
      </w:r>
      <w:r w:rsidR="00F56F47">
        <w:rPr>
          <w:rFonts w:ascii="Open Sans" w:hAnsi="Open Sans" w:cs="Open Sans"/>
        </w:rPr>
        <w:t xml:space="preserve"> und sind auf der </w:t>
      </w:r>
      <w:proofErr w:type="spellStart"/>
      <w:r w:rsidR="00F56F47">
        <w:rPr>
          <w:rFonts w:ascii="Open Sans" w:hAnsi="Open Sans" w:cs="Open Sans"/>
        </w:rPr>
        <w:t>GreenGov</w:t>
      </w:r>
      <w:proofErr w:type="spellEnd"/>
      <w:r w:rsidR="00F56F47">
        <w:rPr>
          <w:rFonts w:ascii="Open Sans" w:hAnsi="Open Sans" w:cs="Open Sans"/>
        </w:rPr>
        <w:t xml:space="preserve"> Webseite verfügbar</w:t>
      </w:r>
      <w:r w:rsidR="006B225D">
        <w:rPr>
          <w:rFonts w:ascii="Open Sans" w:hAnsi="Open Sans" w:cs="Open Sans"/>
        </w:rPr>
        <w:t xml:space="preserve"> (</w:t>
      </w:r>
      <w:hyperlink r:id="rId8" w:history="1">
        <w:r w:rsidR="006B225D" w:rsidRPr="006B225D">
          <w:rPr>
            <w:rStyle w:val="Hyperlink"/>
            <w:rFonts w:ascii="Open Sans" w:hAnsi="Open Sans" w:cs="Open Sans"/>
          </w:rPr>
          <w:t>Klimaverträglichkeit von Infrastrukturen</w:t>
        </w:r>
      </w:hyperlink>
      <w:r w:rsidR="006B225D">
        <w:rPr>
          <w:rFonts w:ascii="Open Sans" w:hAnsi="Open Sans" w:cs="Open Sans"/>
        </w:rPr>
        <w:t xml:space="preserve"> und Grundsatz „</w:t>
      </w:r>
      <w:hyperlink r:id="rId9" w:history="1">
        <w:r w:rsidR="006B225D" w:rsidRPr="00624A9D">
          <w:rPr>
            <w:rStyle w:val="Hyperlink"/>
            <w:rFonts w:ascii="Open Sans" w:hAnsi="Open Sans" w:cs="Open Sans"/>
          </w:rPr>
          <w:t>Keine erhebliche Beeinträchtigungen</w:t>
        </w:r>
      </w:hyperlink>
      <w:r w:rsidR="006B225D">
        <w:rPr>
          <w:rFonts w:ascii="Open Sans" w:hAnsi="Open Sans" w:cs="Open Sans"/>
        </w:rPr>
        <w:t>“)</w:t>
      </w:r>
      <w:r w:rsidR="00F56F47">
        <w:rPr>
          <w:rFonts w:ascii="Open Sans" w:hAnsi="Open Sans" w:cs="Open Sans"/>
        </w:rPr>
        <w:t>.</w:t>
      </w:r>
      <w:r w:rsidR="00F56F47">
        <w:rPr>
          <w:rFonts w:ascii="Open Sans" w:hAnsi="Open Sans" w:cs="Open Sans"/>
        </w:rPr>
        <w:br/>
      </w:r>
      <w:r w:rsidRPr="00F56F47">
        <w:rPr>
          <w:rFonts w:ascii="Open Sans" w:hAnsi="Open Sans" w:cs="Open Sans"/>
        </w:rPr>
        <w:t xml:space="preserve">Die Kurzdossiers fassen die wichtigsten Informationen zu den regulatorischen Vorgaben, den Herausforderungen für regionale Behörden bei deren Umsetzung sowie den möglichen Maßnahmen zu deren Bewältigung zusammen. </w:t>
      </w:r>
    </w:p>
    <w:p w14:paraId="2316DB57" w14:textId="08653674" w:rsidR="00A27133" w:rsidRDefault="00A27133" w:rsidP="00624A9D">
      <w:pPr>
        <w:spacing w:line="360" w:lineRule="auto"/>
        <w:rPr>
          <w:rFonts w:ascii="Open Sans" w:hAnsi="Open Sans" w:cs="Open Sans"/>
        </w:rPr>
      </w:pPr>
      <w:r w:rsidRPr="00F56F47">
        <w:rPr>
          <w:rFonts w:ascii="Open Sans" w:hAnsi="Open Sans" w:cs="Open Sans"/>
        </w:rPr>
        <w:t xml:space="preserve">Diese Kurzdossiers sind Teil einer umfassenderen Reihe von Leitfäden, mit denen das </w:t>
      </w:r>
      <w:proofErr w:type="spellStart"/>
      <w:r w:rsidRPr="00F56F47">
        <w:rPr>
          <w:rFonts w:ascii="Open Sans" w:hAnsi="Open Sans" w:cs="Open Sans"/>
        </w:rPr>
        <w:t>GreenGov</w:t>
      </w:r>
      <w:proofErr w:type="spellEnd"/>
      <w:r w:rsidRPr="00F56F47">
        <w:rPr>
          <w:rFonts w:ascii="Open Sans" w:hAnsi="Open Sans" w:cs="Open Sans"/>
        </w:rPr>
        <w:t xml:space="preserve">-Konsortium den Kapazitätsaufbau in den regionalen Behörden Europas unterstützt. </w:t>
      </w:r>
    </w:p>
    <w:p w14:paraId="2DE6A72E" w14:textId="38B12711" w:rsidR="00624A9D" w:rsidRDefault="00624A9D">
      <w:pPr>
        <w:rPr>
          <w:rFonts w:ascii="Open Sans" w:hAnsi="Open Sans" w:cs="Open Sans"/>
        </w:rPr>
      </w:pPr>
      <w:r>
        <w:rPr>
          <w:rFonts w:ascii="Open Sans" w:hAnsi="Open Sans" w:cs="Open Sans"/>
        </w:rPr>
        <w:br w:type="page"/>
      </w:r>
    </w:p>
    <w:p w14:paraId="7F347703" w14:textId="77777777" w:rsidR="00F56F47" w:rsidRPr="00F56F47" w:rsidRDefault="00F56F47" w:rsidP="00624A9D">
      <w:pPr>
        <w:spacing w:line="360" w:lineRule="auto"/>
        <w:rPr>
          <w:rFonts w:ascii="Open Sans" w:hAnsi="Open Sans" w:cs="Open Sans"/>
        </w:rPr>
      </w:pPr>
    </w:p>
    <w:p w14:paraId="7BBB0A32" w14:textId="0A70C3DE" w:rsidR="00F01566" w:rsidRPr="00F56F47" w:rsidRDefault="00F01566" w:rsidP="00624A9D">
      <w:pPr>
        <w:spacing w:line="360" w:lineRule="auto"/>
        <w:rPr>
          <w:rFonts w:ascii="Open Sans" w:hAnsi="Open Sans" w:cs="Open Sans"/>
          <w:b/>
          <w:bCs/>
          <w:u w:val="single"/>
        </w:rPr>
      </w:pPr>
      <w:r w:rsidRPr="00F56F47">
        <w:rPr>
          <w:rFonts w:ascii="Open Sans" w:hAnsi="Open Sans" w:cs="Open Sans"/>
          <w:b/>
          <w:bCs/>
          <w:u w:val="single"/>
        </w:rPr>
        <w:t>Die Klimaverträglichkeitsprüfung von Infrastrukturen</w:t>
      </w:r>
    </w:p>
    <w:p w14:paraId="236C5899" w14:textId="77777777" w:rsidR="00A27133" w:rsidRPr="00F56F47" w:rsidRDefault="00A27133" w:rsidP="00624A9D">
      <w:pPr>
        <w:spacing w:line="360" w:lineRule="auto"/>
        <w:rPr>
          <w:rFonts w:ascii="Open Sans" w:hAnsi="Open Sans" w:cs="Open Sans"/>
        </w:rPr>
      </w:pPr>
      <w:r w:rsidRPr="00F56F47">
        <w:rPr>
          <w:rFonts w:ascii="Open Sans" w:hAnsi="Open Sans" w:cs="Open Sans"/>
        </w:rPr>
        <w:t>Das Verfahren zur Klimaverträglichkeitsprüfung von Infrastrukturen integriert Maßnahmen zur Eindämmung des Klimawandels sowie zur Anpassung an dessen Folgen in die Entwicklung und Planung von Infrastrukturvorhaben. Das Ziel besteht darin, dass Projekte die Treibhausgasemissionen reduzieren und gegenüber den Auswirkungen des Klimawandels, wie beispielsweise Überschwemmungen, Hitzewellen, Stürme und ein steigender Meeresspiegel, widerstandsfähig bleiben. Der thematische Bericht bietet einen umfassenden Überblick über den Rechtsrahmen sowie die beiden Säulen des Klimaschutzprozesses (Minderung und Anpassung) und erläutert, welche Vorhaben gemäß der Definition der Europäischen Kommission als Infrastruktur gelten.</w:t>
      </w:r>
    </w:p>
    <w:p w14:paraId="767CE411" w14:textId="3FB5257F" w:rsidR="00173520" w:rsidRPr="00F56F47" w:rsidRDefault="009D4EA4" w:rsidP="00624A9D">
      <w:pPr>
        <w:spacing w:line="360" w:lineRule="auto"/>
        <w:rPr>
          <w:rFonts w:ascii="Open Sans" w:hAnsi="Open Sans" w:cs="Open Sans"/>
        </w:rPr>
      </w:pPr>
      <w:r w:rsidRPr="00F56F47">
        <w:rPr>
          <w:rFonts w:ascii="Open Sans" w:hAnsi="Open Sans" w:cs="Open Sans"/>
          <w:u w:val="single"/>
        </w:rPr>
        <w:t>Wichtigste Punkte des Berichts</w:t>
      </w:r>
      <w:r w:rsidRPr="00F56F47">
        <w:rPr>
          <w:rFonts w:ascii="Open Sans" w:hAnsi="Open Sans" w:cs="Open Sans"/>
        </w:rPr>
        <w:t xml:space="preserve">: </w:t>
      </w:r>
    </w:p>
    <w:p w14:paraId="1D17ADAF" w14:textId="29D47687" w:rsidR="009D4EA4" w:rsidRPr="00F56F47" w:rsidRDefault="009D4EA4" w:rsidP="00624A9D">
      <w:pPr>
        <w:pStyle w:val="Listenabsatz"/>
        <w:numPr>
          <w:ilvl w:val="0"/>
          <w:numId w:val="2"/>
        </w:numPr>
        <w:spacing w:line="360" w:lineRule="auto"/>
        <w:rPr>
          <w:rFonts w:ascii="Open Sans" w:hAnsi="Open Sans" w:cs="Open Sans"/>
        </w:rPr>
      </w:pPr>
      <w:r w:rsidRPr="00F56F47">
        <w:rPr>
          <w:rFonts w:ascii="Open Sans" w:hAnsi="Open Sans" w:cs="Open Sans"/>
        </w:rPr>
        <w:t xml:space="preserve">Zweisäule Prüfung </w:t>
      </w:r>
      <w:r w:rsidR="00E6762F" w:rsidRPr="00F56F47">
        <w:rPr>
          <w:rFonts w:ascii="Open Sans" w:hAnsi="Open Sans" w:cs="Open Sans"/>
        </w:rPr>
        <w:t xml:space="preserve">zur Eindämmung des Klimawandels (Klimaschutz) und </w:t>
      </w:r>
      <w:r w:rsidR="00A27133" w:rsidRPr="00F56F47">
        <w:rPr>
          <w:rFonts w:ascii="Open Sans" w:hAnsi="Open Sans" w:cs="Open Sans"/>
        </w:rPr>
        <w:t xml:space="preserve">zur </w:t>
      </w:r>
      <w:r w:rsidR="00E6762F" w:rsidRPr="00F56F47">
        <w:rPr>
          <w:rFonts w:ascii="Open Sans" w:hAnsi="Open Sans" w:cs="Open Sans"/>
        </w:rPr>
        <w:t>Klimaanpassung (</w:t>
      </w:r>
      <w:proofErr w:type="spellStart"/>
      <w:r w:rsidR="00E6762F" w:rsidRPr="00F56F47">
        <w:rPr>
          <w:rFonts w:ascii="Open Sans" w:hAnsi="Open Sans" w:cs="Open Sans"/>
        </w:rPr>
        <w:t>Klimaresilienz</w:t>
      </w:r>
      <w:proofErr w:type="spellEnd"/>
      <w:r w:rsidR="00E6762F" w:rsidRPr="00F56F47">
        <w:rPr>
          <w:rFonts w:ascii="Open Sans" w:hAnsi="Open Sans" w:cs="Open Sans"/>
        </w:rPr>
        <w:t>)</w:t>
      </w:r>
      <w:r w:rsidR="00E9721B" w:rsidRPr="00F56F47">
        <w:rPr>
          <w:rFonts w:ascii="Open Sans" w:hAnsi="Open Sans" w:cs="Open Sans"/>
        </w:rPr>
        <w:t>,</w:t>
      </w:r>
      <w:r w:rsidR="00E6762F" w:rsidRPr="00F56F47">
        <w:rPr>
          <w:rFonts w:ascii="Open Sans" w:hAnsi="Open Sans" w:cs="Open Sans"/>
        </w:rPr>
        <w:t xml:space="preserve"> </w:t>
      </w:r>
      <w:r w:rsidR="00E6762F" w:rsidRPr="00F56F47">
        <w:rPr>
          <w:rFonts w:ascii="Open Sans" w:hAnsi="Open Sans" w:cs="Open Sans"/>
        </w:rPr>
        <w:t>bestehend aus einer Screening-Phase und einer detaillierten Bewertungsphase</w:t>
      </w:r>
      <w:r w:rsidR="00E9721B" w:rsidRPr="00F56F47">
        <w:rPr>
          <w:rFonts w:ascii="Open Sans" w:hAnsi="Open Sans" w:cs="Open Sans"/>
        </w:rPr>
        <w:t>,</w:t>
      </w:r>
      <w:r w:rsidR="00E6762F" w:rsidRPr="00F56F47">
        <w:rPr>
          <w:rFonts w:ascii="Open Sans" w:hAnsi="Open Sans" w:cs="Open Sans"/>
        </w:rPr>
        <w:t xml:space="preserve"> </w:t>
      </w:r>
      <w:r w:rsidR="00E9721B" w:rsidRPr="00F56F47">
        <w:rPr>
          <w:rFonts w:ascii="Open Sans" w:hAnsi="Open Sans" w:cs="Open Sans"/>
        </w:rPr>
        <w:t>um das Verfahren zur Sicherung der Klimaverträglichkeit wirksam und verhaltensmäßig umzusetzen</w:t>
      </w:r>
      <w:r w:rsidR="00F3614B" w:rsidRPr="00F56F47">
        <w:rPr>
          <w:rFonts w:ascii="Open Sans" w:hAnsi="Open Sans" w:cs="Open Sans"/>
        </w:rPr>
        <w:t xml:space="preserve">. </w:t>
      </w:r>
    </w:p>
    <w:p w14:paraId="1AFC2F2F" w14:textId="57AADE5D" w:rsidR="00E9721B" w:rsidRPr="00F56F47" w:rsidRDefault="00E9721B" w:rsidP="00624A9D">
      <w:pPr>
        <w:pStyle w:val="Listenabsatz"/>
        <w:numPr>
          <w:ilvl w:val="0"/>
          <w:numId w:val="2"/>
        </w:numPr>
        <w:spacing w:line="360" w:lineRule="auto"/>
        <w:rPr>
          <w:rFonts w:ascii="Open Sans" w:hAnsi="Open Sans" w:cs="Open Sans"/>
        </w:rPr>
      </w:pPr>
      <w:r w:rsidRPr="00F56F47">
        <w:rPr>
          <w:rFonts w:ascii="Open Sans" w:hAnsi="Open Sans" w:cs="Open Sans"/>
        </w:rPr>
        <w:t xml:space="preserve">Anwendungsbereich des Verfahrens: von Verkehr und Netzinfrastrukturen bis hin zu Wasser, Energie- und Abfallanlagen, Gebäuden und naturbasierter Infrastruktur. </w:t>
      </w:r>
    </w:p>
    <w:p w14:paraId="7912EE53" w14:textId="390F4CA5" w:rsidR="00B15DD5" w:rsidRPr="00F56F47" w:rsidRDefault="00B15DD5" w:rsidP="00624A9D">
      <w:pPr>
        <w:pStyle w:val="Listenabsatz"/>
        <w:numPr>
          <w:ilvl w:val="0"/>
          <w:numId w:val="2"/>
        </w:numPr>
        <w:spacing w:line="360" w:lineRule="auto"/>
        <w:rPr>
          <w:rFonts w:ascii="Open Sans" w:hAnsi="Open Sans" w:cs="Open Sans"/>
        </w:rPr>
      </w:pPr>
      <w:r w:rsidRPr="00F56F47">
        <w:rPr>
          <w:rFonts w:ascii="Open Sans" w:hAnsi="Open Sans" w:cs="Open Sans"/>
        </w:rPr>
        <w:t>Herausforderungen im Zusammenhang mit der Einführung dieses neuen Verfahrens, wie z.B.</w:t>
      </w:r>
      <w:r w:rsidR="000444DB" w:rsidRPr="00F56F47">
        <w:rPr>
          <w:rFonts w:ascii="Open Sans" w:hAnsi="Open Sans" w:cs="Open Sans"/>
        </w:rPr>
        <w:t xml:space="preserve"> das Bewusstsein für die Relevanz </w:t>
      </w:r>
      <w:r w:rsidR="000444DB" w:rsidRPr="00F56F47">
        <w:rPr>
          <w:rFonts w:ascii="Open Sans" w:hAnsi="Open Sans" w:cs="Open Sans"/>
        </w:rPr>
        <w:t>der Auswirkungen des Klimawandels, technische Komplexität und Mangel an zugänglichen Klimadaten, Mangel an qualifiziertem Personal und zertifizierten Expert</w:t>
      </w:r>
      <w:r w:rsidR="000444DB" w:rsidRPr="00F56F47">
        <w:rPr>
          <w:rFonts w:ascii="Open Sans" w:hAnsi="Open Sans" w:cs="Open Sans"/>
        </w:rPr>
        <w:t xml:space="preserve">en. </w:t>
      </w:r>
    </w:p>
    <w:p w14:paraId="56800482" w14:textId="3305209E" w:rsidR="00EC08F5" w:rsidRPr="00F56F47" w:rsidRDefault="000444DB" w:rsidP="00624A9D">
      <w:pPr>
        <w:pStyle w:val="Listenabsatz"/>
        <w:numPr>
          <w:ilvl w:val="0"/>
          <w:numId w:val="2"/>
        </w:numPr>
        <w:spacing w:line="360" w:lineRule="auto"/>
        <w:rPr>
          <w:rFonts w:ascii="Open Sans" w:hAnsi="Open Sans" w:cs="Open Sans"/>
        </w:rPr>
      </w:pPr>
      <w:r w:rsidRPr="00F56F47">
        <w:rPr>
          <w:rFonts w:ascii="Open Sans" w:hAnsi="Open Sans" w:cs="Open Sans"/>
        </w:rPr>
        <w:t xml:space="preserve">Vorgeschlagene Maßnahmen zur Bewältigung der Herausforderungen, wie z. B. Sensibilisierungskampagnen, </w:t>
      </w:r>
      <w:r w:rsidR="00E9721B" w:rsidRPr="00F56F47">
        <w:rPr>
          <w:rFonts w:ascii="Open Sans" w:hAnsi="Open Sans" w:cs="Open Sans"/>
        </w:rPr>
        <w:t>Schulungen</w:t>
      </w:r>
      <w:r w:rsidRPr="00F56F47">
        <w:rPr>
          <w:rFonts w:ascii="Open Sans" w:hAnsi="Open Sans" w:cs="Open Sans"/>
        </w:rPr>
        <w:t xml:space="preserve">, </w:t>
      </w:r>
      <w:r w:rsidR="00E9721B" w:rsidRPr="00F56F47">
        <w:rPr>
          <w:rFonts w:ascii="Open Sans" w:hAnsi="Open Sans" w:cs="Open Sans"/>
        </w:rPr>
        <w:t>Zertifizierungsmöglichkeiten</w:t>
      </w:r>
      <w:r w:rsidRPr="00F56F47">
        <w:rPr>
          <w:rFonts w:ascii="Open Sans" w:hAnsi="Open Sans" w:cs="Open Sans"/>
        </w:rPr>
        <w:t xml:space="preserve"> und Kapazitätsaufbau für öffentliche Verwaltungen, Vorschläge zur Verbesserung der </w:t>
      </w:r>
      <w:proofErr w:type="spellStart"/>
      <w:r w:rsidRPr="00F56F47">
        <w:rPr>
          <w:rFonts w:ascii="Open Sans" w:hAnsi="Open Sans" w:cs="Open Sans"/>
        </w:rPr>
        <w:t>Governance</w:t>
      </w:r>
      <w:proofErr w:type="spellEnd"/>
      <w:r w:rsidRPr="00F56F47">
        <w:rPr>
          <w:rFonts w:ascii="Open Sans" w:hAnsi="Open Sans" w:cs="Open Sans"/>
        </w:rPr>
        <w:t>.</w:t>
      </w:r>
    </w:p>
    <w:p w14:paraId="66C119D3" w14:textId="32272D53" w:rsidR="00624A9D" w:rsidRDefault="00624A9D">
      <w:pPr>
        <w:rPr>
          <w:rFonts w:ascii="Open Sans" w:hAnsi="Open Sans" w:cs="Open Sans"/>
        </w:rPr>
      </w:pPr>
      <w:r>
        <w:rPr>
          <w:rFonts w:ascii="Open Sans" w:hAnsi="Open Sans" w:cs="Open Sans"/>
        </w:rPr>
        <w:br w:type="page"/>
      </w:r>
    </w:p>
    <w:p w14:paraId="24029C40" w14:textId="77777777" w:rsidR="0056341D" w:rsidRPr="00F56F47" w:rsidRDefault="0056341D" w:rsidP="00624A9D">
      <w:pPr>
        <w:pStyle w:val="Listenabsatz"/>
        <w:spacing w:line="360" w:lineRule="auto"/>
        <w:rPr>
          <w:rFonts w:ascii="Open Sans" w:hAnsi="Open Sans" w:cs="Open Sans"/>
        </w:rPr>
      </w:pPr>
    </w:p>
    <w:p w14:paraId="3021F1F7" w14:textId="6D66CE03" w:rsidR="00EC08F5" w:rsidRPr="00F56F47" w:rsidRDefault="00EC08F5" w:rsidP="00624A9D">
      <w:pPr>
        <w:spacing w:line="360" w:lineRule="auto"/>
        <w:rPr>
          <w:rFonts w:ascii="Open Sans" w:hAnsi="Open Sans" w:cs="Open Sans"/>
          <w:b/>
          <w:bCs/>
          <w:u w:val="single"/>
        </w:rPr>
      </w:pPr>
      <w:r w:rsidRPr="00F56F47">
        <w:rPr>
          <w:rFonts w:ascii="Open Sans" w:hAnsi="Open Sans" w:cs="Open Sans"/>
          <w:b/>
          <w:bCs/>
          <w:u w:val="single"/>
        </w:rPr>
        <w:t xml:space="preserve">Das Prinzip keine erhebliche Beeinträchtigung – </w:t>
      </w:r>
      <w:r w:rsidR="00B8765F" w:rsidRPr="00F56F47">
        <w:rPr>
          <w:rFonts w:ascii="Open Sans" w:hAnsi="Open Sans" w:cs="Open Sans"/>
          <w:b/>
          <w:bCs/>
          <w:u w:val="single"/>
        </w:rPr>
        <w:t xml:space="preserve">(Englisch: </w:t>
      </w:r>
      <w:r w:rsidRPr="00F56F47">
        <w:rPr>
          <w:rFonts w:ascii="Open Sans" w:hAnsi="Open Sans" w:cs="Open Sans"/>
          <w:b/>
          <w:bCs/>
          <w:u w:val="single"/>
        </w:rPr>
        <w:t xml:space="preserve">Do Not </w:t>
      </w:r>
      <w:proofErr w:type="spellStart"/>
      <w:r w:rsidRPr="00F56F47">
        <w:rPr>
          <w:rFonts w:ascii="Open Sans" w:hAnsi="Open Sans" w:cs="Open Sans"/>
          <w:b/>
          <w:bCs/>
          <w:u w:val="single"/>
        </w:rPr>
        <w:t>Significant</w:t>
      </w:r>
      <w:proofErr w:type="spellEnd"/>
      <w:r w:rsidRPr="00F56F47">
        <w:rPr>
          <w:rFonts w:ascii="Open Sans" w:hAnsi="Open Sans" w:cs="Open Sans"/>
          <w:b/>
          <w:bCs/>
          <w:u w:val="single"/>
        </w:rPr>
        <w:t xml:space="preserve"> Harm</w:t>
      </w:r>
      <w:r w:rsidR="00B8765F" w:rsidRPr="00F56F47">
        <w:rPr>
          <w:rFonts w:ascii="Open Sans" w:hAnsi="Open Sans" w:cs="Open Sans"/>
          <w:b/>
          <w:bCs/>
          <w:u w:val="single"/>
        </w:rPr>
        <w:t xml:space="preserve">, Kurzform DNSH) </w:t>
      </w:r>
    </w:p>
    <w:p w14:paraId="2A9D88BD" w14:textId="4387C896" w:rsidR="00EC08F5" w:rsidRPr="00F56F47" w:rsidRDefault="00EC08F5" w:rsidP="00624A9D">
      <w:pPr>
        <w:spacing w:line="360" w:lineRule="auto"/>
        <w:rPr>
          <w:rFonts w:ascii="Open Sans" w:hAnsi="Open Sans" w:cs="Open Sans"/>
        </w:rPr>
      </w:pPr>
      <w:r w:rsidRPr="00F56F47">
        <w:rPr>
          <w:rFonts w:ascii="Open Sans" w:hAnsi="Open Sans" w:cs="Open Sans"/>
        </w:rPr>
        <w:t>Das DNSH-Prinzip</w:t>
      </w:r>
      <w:r w:rsidR="00567260" w:rsidRPr="00F56F47">
        <w:rPr>
          <w:rFonts w:ascii="Open Sans" w:hAnsi="Open Sans" w:cs="Open Sans"/>
        </w:rPr>
        <w:t xml:space="preserve"> ist</w:t>
      </w:r>
      <w:r w:rsidRPr="00F56F47">
        <w:rPr>
          <w:rFonts w:ascii="Open Sans" w:hAnsi="Open Sans" w:cs="Open Sans"/>
        </w:rPr>
        <w:t xml:space="preserve"> </w:t>
      </w:r>
      <w:r w:rsidR="00567260" w:rsidRPr="00F56F47">
        <w:rPr>
          <w:rFonts w:ascii="Open Sans" w:hAnsi="Open Sans" w:cs="Open Sans"/>
        </w:rPr>
        <w:t>in</w:t>
      </w:r>
      <w:r w:rsidRPr="00F56F47">
        <w:rPr>
          <w:rFonts w:ascii="Open Sans" w:hAnsi="Open Sans" w:cs="Open Sans"/>
        </w:rPr>
        <w:t xml:space="preserve"> der EU-Taxonomie-Verordnung </w:t>
      </w:r>
      <w:r w:rsidR="00567260" w:rsidRPr="00F56F47">
        <w:rPr>
          <w:rFonts w:ascii="Open Sans" w:hAnsi="Open Sans" w:cs="Open Sans"/>
        </w:rPr>
        <w:t>verankert und</w:t>
      </w:r>
      <w:r w:rsidRPr="00F56F47">
        <w:rPr>
          <w:rFonts w:ascii="Open Sans" w:hAnsi="Open Sans" w:cs="Open Sans"/>
        </w:rPr>
        <w:t xml:space="preserve"> stellt sicher, dass Investitionen und öffentliche Mittel keinen erheblichen Schaden für Umweltziele wie Klimaschutz und</w:t>
      </w:r>
      <w:r w:rsidR="00E9721B" w:rsidRPr="00F56F47">
        <w:rPr>
          <w:rFonts w:ascii="Open Sans" w:hAnsi="Open Sans" w:cs="Open Sans"/>
        </w:rPr>
        <w:t>- Anpassung</w:t>
      </w:r>
      <w:r w:rsidRPr="00F56F47">
        <w:rPr>
          <w:rFonts w:ascii="Open Sans" w:hAnsi="Open Sans" w:cs="Open Sans"/>
        </w:rPr>
        <w:t>, Schutz der biologischen Vielfalt, Vermeidung von Umweltverschmutzung, nachhaltige Wassernutzung und Kreislaufwirtschaft verursachen.</w:t>
      </w:r>
    </w:p>
    <w:p w14:paraId="789376AD" w14:textId="200045F9" w:rsidR="00EC08F5" w:rsidRPr="00F56F47" w:rsidRDefault="00EC08F5" w:rsidP="00624A9D">
      <w:pPr>
        <w:spacing w:line="360" w:lineRule="auto"/>
        <w:rPr>
          <w:rFonts w:ascii="Open Sans" w:hAnsi="Open Sans" w:cs="Open Sans"/>
        </w:rPr>
      </w:pPr>
      <w:r w:rsidRPr="00F56F47">
        <w:rPr>
          <w:rFonts w:ascii="Open Sans" w:hAnsi="Open Sans" w:cs="Open Sans"/>
        </w:rPr>
        <w:t xml:space="preserve">Da </w:t>
      </w:r>
      <w:r w:rsidR="00567260" w:rsidRPr="00F56F47">
        <w:rPr>
          <w:rFonts w:ascii="Open Sans" w:hAnsi="Open Sans" w:cs="Open Sans"/>
        </w:rPr>
        <w:t>europäische Fonds</w:t>
      </w:r>
      <w:r w:rsidRPr="00F56F47">
        <w:rPr>
          <w:rFonts w:ascii="Open Sans" w:hAnsi="Open Sans" w:cs="Open Sans"/>
        </w:rPr>
        <w:t xml:space="preserve"> wie die Aufbau- und </w:t>
      </w:r>
      <w:proofErr w:type="spellStart"/>
      <w:r w:rsidRPr="00F56F47">
        <w:rPr>
          <w:rFonts w:ascii="Open Sans" w:hAnsi="Open Sans" w:cs="Open Sans"/>
        </w:rPr>
        <w:t>Resilienzfazilität</w:t>
      </w:r>
      <w:proofErr w:type="spellEnd"/>
      <w:r w:rsidRPr="00F56F47">
        <w:rPr>
          <w:rFonts w:ascii="Open Sans" w:hAnsi="Open Sans" w:cs="Open Sans"/>
        </w:rPr>
        <w:t xml:space="preserve"> (RRF) und die Europäischen Struktur- und Investitionsfonds (ESI-Fonds) in ihren Programmen für den Zeitraum 2021–2027 die Einhaltung des DNSH-Prinzips vorschreiben, </w:t>
      </w:r>
      <w:r w:rsidR="00567260" w:rsidRPr="00F56F47">
        <w:rPr>
          <w:rFonts w:ascii="Open Sans" w:hAnsi="Open Sans" w:cs="Open Sans"/>
        </w:rPr>
        <w:t xml:space="preserve">hat sich das </w:t>
      </w:r>
      <w:proofErr w:type="spellStart"/>
      <w:r w:rsidR="00567260" w:rsidRPr="00F56F47">
        <w:rPr>
          <w:rFonts w:ascii="Open Sans" w:hAnsi="Open Sans" w:cs="Open Sans"/>
        </w:rPr>
        <w:t>GreenGov</w:t>
      </w:r>
      <w:proofErr w:type="spellEnd"/>
      <w:r w:rsidR="008C5CE7" w:rsidRPr="00F56F47">
        <w:rPr>
          <w:rFonts w:ascii="Open Sans" w:hAnsi="Open Sans" w:cs="Open Sans"/>
        </w:rPr>
        <w:t>-</w:t>
      </w:r>
      <w:r w:rsidR="00567260" w:rsidRPr="00F56F47">
        <w:rPr>
          <w:rFonts w:ascii="Open Sans" w:hAnsi="Open Sans" w:cs="Open Sans"/>
        </w:rPr>
        <w:t xml:space="preserve">Projekt </w:t>
      </w:r>
      <w:r w:rsidR="008C5CE7" w:rsidRPr="00F56F47">
        <w:rPr>
          <w:rFonts w:ascii="Open Sans" w:hAnsi="Open Sans" w:cs="Open Sans"/>
        </w:rPr>
        <w:t>zum</w:t>
      </w:r>
      <w:r w:rsidR="00144DB1" w:rsidRPr="00F56F47">
        <w:rPr>
          <w:rFonts w:ascii="Open Sans" w:hAnsi="Open Sans" w:cs="Open Sans"/>
        </w:rPr>
        <w:t xml:space="preserve"> Ziel gesetzt,</w:t>
      </w:r>
      <w:r w:rsidRPr="00F56F47">
        <w:rPr>
          <w:rFonts w:ascii="Open Sans" w:hAnsi="Open Sans" w:cs="Open Sans"/>
        </w:rPr>
        <w:t xml:space="preserve"> Behörden</w:t>
      </w:r>
      <w:r w:rsidR="009D42A7" w:rsidRPr="00F56F47">
        <w:rPr>
          <w:rFonts w:ascii="Open Sans" w:hAnsi="Open Sans" w:cs="Open Sans"/>
        </w:rPr>
        <w:t xml:space="preserve"> und </w:t>
      </w:r>
      <w:r w:rsidR="008C5CE7" w:rsidRPr="00F56F47">
        <w:rPr>
          <w:rFonts w:ascii="Open Sans" w:hAnsi="Open Sans" w:cs="Open Sans"/>
        </w:rPr>
        <w:t>Begünstigte von Fördermittel dabei</w:t>
      </w:r>
      <w:r w:rsidRPr="00F56F47">
        <w:rPr>
          <w:rFonts w:ascii="Open Sans" w:hAnsi="Open Sans" w:cs="Open Sans"/>
        </w:rPr>
        <w:t xml:space="preserve"> </w:t>
      </w:r>
      <w:r w:rsidR="009D42A7" w:rsidRPr="00F56F47">
        <w:rPr>
          <w:rFonts w:ascii="Open Sans" w:hAnsi="Open Sans" w:cs="Open Sans"/>
        </w:rPr>
        <w:t>zu</w:t>
      </w:r>
      <w:r w:rsidRPr="00F56F47">
        <w:rPr>
          <w:rFonts w:ascii="Open Sans" w:hAnsi="Open Sans" w:cs="Open Sans"/>
        </w:rPr>
        <w:t xml:space="preserve"> unterstützen, diese Anforderung in eine Chance für nachhaltiges Wachstum und Wettbewerbsfähigkeit zu verwandeln.  </w:t>
      </w:r>
    </w:p>
    <w:p w14:paraId="4C3CB7A5" w14:textId="0F966E55" w:rsidR="00EC08F5" w:rsidRPr="00F56F47" w:rsidRDefault="00EC08F5" w:rsidP="00624A9D">
      <w:pPr>
        <w:spacing w:line="360" w:lineRule="auto"/>
        <w:rPr>
          <w:rFonts w:ascii="Open Sans" w:hAnsi="Open Sans" w:cs="Open Sans"/>
          <w:u w:val="single"/>
        </w:rPr>
      </w:pPr>
      <w:r w:rsidRPr="00F56F47">
        <w:rPr>
          <w:rFonts w:ascii="Open Sans" w:hAnsi="Open Sans" w:cs="Open Sans"/>
          <w:u w:val="single"/>
        </w:rPr>
        <w:t>Wichtigste Punkte des Berichts</w:t>
      </w:r>
      <w:r w:rsidR="00D57EFA" w:rsidRPr="00F56F47">
        <w:rPr>
          <w:rFonts w:ascii="Open Sans" w:hAnsi="Open Sans" w:cs="Open Sans"/>
          <w:u w:val="single"/>
        </w:rPr>
        <w:t>:</w:t>
      </w:r>
    </w:p>
    <w:p w14:paraId="586CA984" w14:textId="77777777" w:rsidR="009D42A7" w:rsidRPr="00F56F47" w:rsidRDefault="009D42A7" w:rsidP="00624A9D">
      <w:pPr>
        <w:pStyle w:val="Listenabsatz"/>
        <w:numPr>
          <w:ilvl w:val="0"/>
          <w:numId w:val="3"/>
        </w:numPr>
        <w:spacing w:line="360" w:lineRule="auto"/>
        <w:rPr>
          <w:rFonts w:ascii="Open Sans" w:hAnsi="Open Sans" w:cs="Open Sans"/>
        </w:rPr>
      </w:pPr>
      <w:r w:rsidRPr="00F56F47">
        <w:rPr>
          <w:rFonts w:ascii="Open Sans" w:hAnsi="Open Sans" w:cs="Open Sans"/>
        </w:rPr>
        <w:t xml:space="preserve">Grundlegende </w:t>
      </w:r>
      <w:r w:rsidR="00EC08F5" w:rsidRPr="00F56F47">
        <w:rPr>
          <w:rFonts w:ascii="Open Sans" w:hAnsi="Open Sans" w:cs="Open Sans"/>
        </w:rPr>
        <w:t>Definition des Begriffs „erhebliche Beeinträchtigung“;</w:t>
      </w:r>
    </w:p>
    <w:p w14:paraId="5CE283D0" w14:textId="77777777" w:rsidR="009D42A7" w:rsidRPr="00F56F47" w:rsidRDefault="00EC08F5" w:rsidP="00624A9D">
      <w:pPr>
        <w:pStyle w:val="Listenabsatz"/>
        <w:numPr>
          <w:ilvl w:val="0"/>
          <w:numId w:val="3"/>
        </w:numPr>
        <w:spacing w:line="360" w:lineRule="auto"/>
        <w:rPr>
          <w:rFonts w:ascii="Open Sans" w:hAnsi="Open Sans" w:cs="Open Sans"/>
        </w:rPr>
      </w:pPr>
      <w:r w:rsidRPr="00F56F47">
        <w:rPr>
          <w:rFonts w:ascii="Open Sans" w:hAnsi="Open Sans" w:cs="Open Sans"/>
        </w:rPr>
        <w:t>Fokus auf die Umsetzung des Grundsatzes als „horizontaler Grundsatz“</w:t>
      </w:r>
      <w:r w:rsidR="009D42A7" w:rsidRPr="00F56F47">
        <w:rPr>
          <w:rFonts w:ascii="Open Sans" w:hAnsi="Open Sans" w:cs="Open Sans"/>
        </w:rPr>
        <w:t xml:space="preserve"> in den europäischen Fonds;</w:t>
      </w:r>
    </w:p>
    <w:p w14:paraId="208416CD" w14:textId="6A143A95" w:rsidR="003B2CAD" w:rsidRPr="00F56F47" w:rsidRDefault="00EC08F5" w:rsidP="00624A9D">
      <w:pPr>
        <w:pStyle w:val="Listenabsatz"/>
        <w:numPr>
          <w:ilvl w:val="0"/>
          <w:numId w:val="3"/>
        </w:numPr>
        <w:spacing w:line="360" w:lineRule="auto"/>
        <w:rPr>
          <w:rFonts w:ascii="Open Sans" w:hAnsi="Open Sans" w:cs="Open Sans"/>
        </w:rPr>
      </w:pPr>
      <w:r w:rsidRPr="00F56F47">
        <w:rPr>
          <w:rFonts w:ascii="Open Sans" w:hAnsi="Open Sans" w:cs="Open Sans"/>
        </w:rPr>
        <w:t xml:space="preserve">Herausforderungen </w:t>
      </w:r>
      <w:r w:rsidR="009D42A7" w:rsidRPr="00F56F47">
        <w:rPr>
          <w:rFonts w:ascii="Open Sans" w:hAnsi="Open Sans" w:cs="Open Sans"/>
        </w:rPr>
        <w:t xml:space="preserve">bezüglich der </w:t>
      </w:r>
      <w:r w:rsidRPr="00F56F47">
        <w:rPr>
          <w:rFonts w:ascii="Open Sans" w:hAnsi="Open Sans" w:cs="Open Sans"/>
        </w:rPr>
        <w:t xml:space="preserve">Sensibilisierung, Methodik und </w:t>
      </w:r>
      <w:proofErr w:type="spellStart"/>
      <w:r w:rsidRPr="00F56F47">
        <w:rPr>
          <w:rFonts w:ascii="Open Sans" w:hAnsi="Open Sans" w:cs="Open Sans"/>
        </w:rPr>
        <w:t>Governance</w:t>
      </w:r>
      <w:proofErr w:type="spellEnd"/>
      <w:r w:rsidR="003B2CAD" w:rsidRPr="00F56F47">
        <w:rPr>
          <w:rFonts w:ascii="Open Sans" w:hAnsi="Open Sans" w:cs="Open Sans"/>
        </w:rPr>
        <w:t xml:space="preserve"> bei der Umsetzung des DNSH-Grundsatzes</w:t>
      </w:r>
      <w:r w:rsidRPr="00F56F47">
        <w:rPr>
          <w:rFonts w:ascii="Open Sans" w:hAnsi="Open Sans" w:cs="Open Sans"/>
        </w:rPr>
        <w:t xml:space="preserve">. Auf allgemeiner Ebene wird die uneinheitliche Umsetzung des Grundsatzes in Europa und sogar innerhalb einzelner Länder oder zwischen verschiedenen Fonds hervorgehoben, das Fehlen gemeinsamer Leitlinien </w:t>
      </w:r>
      <w:r w:rsidR="00F54EEF" w:rsidRPr="00F56F47">
        <w:rPr>
          <w:rFonts w:ascii="Open Sans" w:hAnsi="Open Sans" w:cs="Open Sans"/>
        </w:rPr>
        <w:t>sowie</w:t>
      </w:r>
      <w:r w:rsidRPr="00F56F47">
        <w:rPr>
          <w:rFonts w:ascii="Open Sans" w:hAnsi="Open Sans" w:cs="Open Sans"/>
        </w:rPr>
        <w:t xml:space="preserve"> die Notwendigkeit einer Änderung der Denkweise und Praxis sowohl bei den Verwaltungsbehörden als auch bei den Begünstigten</w:t>
      </w:r>
      <w:r w:rsidR="00F54EEF" w:rsidRPr="00F56F47">
        <w:rPr>
          <w:rFonts w:ascii="Open Sans" w:hAnsi="Open Sans" w:cs="Open Sans"/>
        </w:rPr>
        <w:t xml:space="preserve"> hervorgehoben</w:t>
      </w:r>
      <w:r w:rsidRPr="00F56F47">
        <w:rPr>
          <w:rFonts w:ascii="Open Sans" w:hAnsi="Open Sans" w:cs="Open Sans"/>
        </w:rPr>
        <w:t>;</w:t>
      </w:r>
    </w:p>
    <w:p w14:paraId="6496C94E" w14:textId="22042EBD" w:rsidR="00EC08F5" w:rsidRPr="00F56F47" w:rsidRDefault="00EC08F5" w:rsidP="00624A9D">
      <w:pPr>
        <w:pStyle w:val="Listenabsatz"/>
        <w:numPr>
          <w:ilvl w:val="0"/>
          <w:numId w:val="3"/>
        </w:numPr>
        <w:spacing w:line="360" w:lineRule="auto"/>
        <w:rPr>
          <w:rFonts w:ascii="Open Sans" w:hAnsi="Open Sans" w:cs="Open Sans"/>
        </w:rPr>
      </w:pPr>
      <w:r w:rsidRPr="00F56F47">
        <w:rPr>
          <w:rFonts w:ascii="Open Sans" w:hAnsi="Open Sans" w:cs="Open Sans"/>
        </w:rPr>
        <w:t xml:space="preserve">Maßnahmen zur Bewältigung der Herausforderungen, wie z. B. </w:t>
      </w:r>
      <w:r w:rsidR="003B2CAD" w:rsidRPr="00F56F47">
        <w:rPr>
          <w:rFonts w:ascii="Open Sans" w:hAnsi="Open Sans" w:cs="Open Sans"/>
        </w:rPr>
        <w:t xml:space="preserve">Unterstützungsmaßnahmen </w:t>
      </w:r>
      <w:r w:rsidRPr="00F56F47">
        <w:rPr>
          <w:rFonts w:ascii="Open Sans" w:hAnsi="Open Sans" w:cs="Open Sans"/>
        </w:rPr>
        <w:t>für Begünstigte und politische Empfehlungen für Verwaltungsbehörden.</w:t>
      </w:r>
    </w:p>
    <w:sectPr w:rsidR="00EC08F5" w:rsidRPr="00F56F47">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C08F8" w14:textId="77777777" w:rsidR="000B0451" w:rsidRDefault="000B0451" w:rsidP="000B0451">
      <w:pPr>
        <w:spacing w:after="0" w:line="240" w:lineRule="auto"/>
      </w:pPr>
      <w:r>
        <w:separator/>
      </w:r>
    </w:p>
  </w:endnote>
  <w:endnote w:type="continuationSeparator" w:id="0">
    <w:p w14:paraId="121B6263" w14:textId="77777777" w:rsidR="000B0451" w:rsidRDefault="000B0451" w:rsidP="000B04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7765173"/>
      <w:docPartObj>
        <w:docPartGallery w:val="Page Numbers (Bottom of Page)"/>
        <w:docPartUnique/>
      </w:docPartObj>
    </w:sdtPr>
    <w:sdtContent>
      <w:p w14:paraId="529E3434" w14:textId="7BFF588C" w:rsidR="0056341D" w:rsidRDefault="0056341D">
        <w:pPr>
          <w:pStyle w:val="Fuzeile"/>
          <w:jc w:val="right"/>
        </w:pPr>
        <w:r>
          <w:fldChar w:fldCharType="begin"/>
        </w:r>
        <w:r>
          <w:instrText>PAGE   \* MERGEFORMAT</w:instrText>
        </w:r>
        <w:r>
          <w:fldChar w:fldCharType="separate"/>
        </w:r>
        <w:r>
          <w:t>2</w:t>
        </w:r>
        <w:r>
          <w:fldChar w:fldCharType="end"/>
        </w:r>
      </w:p>
    </w:sdtContent>
  </w:sdt>
  <w:p w14:paraId="4C7410FC" w14:textId="77777777" w:rsidR="0056341D" w:rsidRDefault="0056341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471D9" w14:textId="77777777" w:rsidR="000B0451" w:rsidRDefault="000B0451" w:rsidP="000B0451">
      <w:pPr>
        <w:spacing w:after="0" w:line="240" w:lineRule="auto"/>
      </w:pPr>
      <w:r>
        <w:separator/>
      </w:r>
    </w:p>
  </w:footnote>
  <w:footnote w:type="continuationSeparator" w:id="0">
    <w:p w14:paraId="21F58065" w14:textId="77777777" w:rsidR="000B0451" w:rsidRDefault="000B0451" w:rsidP="000B04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2C193C"/>
    <w:multiLevelType w:val="hybridMultilevel"/>
    <w:tmpl w:val="9C6A08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087C88"/>
    <w:multiLevelType w:val="hybridMultilevel"/>
    <w:tmpl w:val="9EE8BE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2663195"/>
    <w:multiLevelType w:val="hybridMultilevel"/>
    <w:tmpl w:val="A5ECDE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32F"/>
    <w:rsid w:val="00041946"/>
    <w:rsid w:val="000444DB"/>
    <w:rsid w:val="000B0451"/>
    <w:rsid w:val="00114752"/>
    <w:rsid w:val="00144DB1"/>
    <w:rsid w:val="00162BD4"/>
    <w:rsid w:val="00173520"/>
    <w:rsid w:val="003B2CAD"/>
    <w:rsid w:val="004A0294"/>
    <w:rsid w:val="004E532F"/>
    <w:rsid w:val="0056341D"/>
    <w:rsid w:val="00567260"/>
    <w:rsid w:val="005732A8"/>
    <w:rsid w:val="006233DC"/>
    <w:rsid w:val="00624A9D"/>
    <w:rsid w:val="006B225D"/>
    <w:rsid w:val="008B2767"/>
    <w:rsid w:val="008C5CE7"/>
    <w:rsid w:val="0096267F"/>
    <w:rsid w:val="00997F33"/>
    <w:rsid w:val="009D3332"/>
    <w:rsid w:val="009D42A7"/>
    <w:rsid w:val="009D4EA4"/>
    <w:rsid w:val="00A27133"/>
    <w:rsid w:val="00A72746"/>
    <w:rsid w:val="00AC5391"/>
    <w:rsid w:val="00B15DD5"/>
    <w:rsid w:val="00B55E5C"/>
    <w:rsid w:val="00B6116B"/>
    <w:rsid w:val="00B8765F"/>
    <w:rsid w:val="00C45294"/>
    <w:rsid w:val="00D57EFA"/>
    <w:rsid w:val="00E6762F"/>
    <w:rsid w:val="00E9721B"/>
    <w:rsid w:val="00EC08F5"/>
    <w:rsid w:val="00F01566"/>
    <w:rsid w:val="00F34AA1"/>
    <w:rsid w:val="00F34C91"/>
    <w:rsid w:val="00F3614B"/>
    <w:rsid w:val="00F54EEF"/>
    <w:rsid w:val="00F56F47"/>
    <w:rsid w:val="00F955F2"/>
    <w:rsid w:val="00FC0B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0FA265"/>
  <w15:chartTrackingRefBased/>
  <w15:docId w15:val="{B6211FCE-AD5F-4730-961D-B31F4A538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DE"/>
    </w:rPr>
  </w:style>
  <w:style w:type="paragraph" w:styleId="berschrift1">
    <w:name w:val="heading 1"/>
    <w:basedOn w:val="Standard"/>
    <w:next w:val="Standard"/>
    <w:link w:val="berschrift1Zchn"/>
    <w:uiPriority w:val="9"/>
    <w:qFormat/>
    <w:rsid w:val="004E532F"/>
    <w:pPr>
      <w:keepNext/>
      <w:keepLines/>
      <w:spacing w:before="360" w:after="80" w:line="279" w:lineRule="auto"/>
      <w:outlineLvl w:val="0"/>
    </w:pPr>
    <w:rPr>
      <w:rFonts w:asciiTheme="majorHAnsi" w:eastAsiaTheme="majorEastAsia" w:hAnsiTheme="majorHAnsi" w:cstheme="majorBidi"/>
      <w:color w:val="2F5496" w:themeColor="accent1" w:themeShade="BF"/>
      <w:sz w:val="40"/>
      <w:szCs w:val="40"/>
      <w:lang w:val="en-US"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E532F"/>
    <w:rPr>
      <w:rFonts w:asciiTheme="majorHAnsi" w:eastAsiaTheme="majorEastAsia" w:hAnsiTheme="majorHAnsi" w:cstheme="majorBidi"/>
      <w:color w:val="2F5496" w:themeColor="accent1" w:themeShade="BF"/>
      <w:sz w:val="40"/>
      <w:szCs w:val="40"/>
      <w:lang w:val="en-US" w:eastAsia="ja-JP"/>
    </w:rPr>
  </w:style>
  <w:style w:type="paragraph" w:styleId="Kopfzeile">
    <w:name w:val="header"/>
    <w:basedOn w:val="Standard"/>
    <w:link w:val="KopfzeileZchn"/>
    <w:uiPriority w:val="99"/>
    <w:unhideWhenUsed/>
    <w:rsid w:val="000B04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B0451"/>
    <w:rPr>
      <w:lang w:val="de-DE"/>
    </w:rPr>
  </w:style>
  <w:style w:type="paragraph" w:styleId="Fuzeile">
    <w:name w:val="footer"/>
    <w:basedOn w:val="Standard"/>
    <w:link w:val="FuzeileZchn"/>
    <w:uiPriority w:val="99"/>
    <w:unhideWhenUsed/>
    <w:rsid w:val="000B04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B0451"/>
    <w:rPr>
      <w:lang w:val="de-DE"/>
    </w:rPr>
  </w:style>
  <w:style w:type="paragraph" w:styleId="Listenabsatz">
    <w:name w:val="List Paragraph"/>
    <w:basedOn w:val="Standard"/>
    <w:uiPriority w:val="34"/>
    <w:qFormat/>
    <w:rsid w:val="009D4EA4"/>
    <w:pPr>
      <w:ind w:left="720"/>
      <w:contextualSpacing/>
    </w:pPr>
  </w:style>
  <w:style w:type="character" w:styleId="Hyperlink">
    <w:name w:val="Hyperlink"/>
    <w:basedOn w:val="Absatz-Standardschriftart"/>
    <w:uiPriority w:val="99"/>
    <w:unhideWhenUsed/>
    <w:rsid w:val="006B225D"/>
    <w:rPr>
      <w:color w:val="0563C1" w:themeColor="hyperlink"/>
      <w:u w:val="single"/>
    </w:rPr>
  </w:style>
  <w:style w:type="character" w:styleId="NichtaufgelsteErwhnung">
    <w:name w:val="Unresolved Mention"/>
    <w:basedOn w:val="Absatz-Standardschriftart"/>
    <w:uiPriority w:val="99"/>
    <w:semiHidden/>
    <w:unhideWhenUsed/>
    <w:rsid w:val="006B22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regeurope.eu/sites/default/files/2025-09/GreenGov%20-%20Thematic%20brief%20climate%20proofing%20of%20infrastructure.pdf"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interregeurope.eu/sites/default/files/2025-09/GreenGov%20-%20Thematic%20brief%20DNSH%20principle.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4388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Biotti, Licia (MW-VB2)</dc:creator>
  <cp:keywords/>
  <dc:description/>
  <cp:lastModifiedBy>Biotti, Licia (MW-VB2)</cp:lastModifiedBy>
  <cp:revision>4</cp:revision>
  <dcterms:created xsi:type="dcterms:W3CDTF">2025-10-01T07:17:00Z</dcterms:created>
  <dcterms:modified xsi:type="dcterms:W3CDTF">2025-10-02T10:31:00Z</dcterms:modified>
</cp:coreProperties>
</file>